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F94B5DF" w14:textId="4BA9EE46">
      <w:pPr>
        <w:pBdr/>
        <w:spacing w:line="276" w:lineRule="auto"/>
        <w:ind/>
        <w:jc w:val="center"/>
        <w:rPr>
          <w:rFonts w:cstheme="minorHAnsi"/>
          <w:b/>
          <w:bCs/>
          <w:sz w:val="28"/>
          <w:szCs w:val="28"/>
          <w:highlight w:val="none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Záverečná správa „Zbierka na realizáciu Národného pochodu za život 2024“</w:t>
      </w:r>
      <w:r>
        <w:rPr>
          <w:rFonts w:cstheme="minorHAnsi"/>
          <w:b/>
          <w:bCs/>
          <w:sz w:val="28"/>
          <w:szCs w:val="28"/>
          <w:highlight w:val="none"/>
        </w:rPr>
      </w:r>
      <w:r>
        <w:rPr>
          <w:rFonts w:cstheme="minorHAnsi"/>
          <w:b/>
          <w:bCs/>
          <w:sz w:val="28"/>
          <w:szCs w:val="28"/>
          <w:highlight w:val="none"/>
        </w:rPr>
      </w:r>
      <w:r>
        <w:rPr>
          <w:rFonts w:cstheme="minorHAnsi"/>
          <w:b/>
          <w:bCs/>
          <w:sz w:val="28"/>
          <w:szCs w:val="28"/>
          <w:highlight w:val="none"/>
        </w:rPr>
      </w:r>
    </w:p>
    <w:p w14:paraId="671221A6" w14:textId="77777777">
      <w:p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 w14:paraId="44889646" w14:textId="01F28AC7">
      <w:pPr>
        <w:pBdr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KANET, </w:t>
      </w:r>
      <w:r>
        <w:rPr>
          <w:rFonts w:cstheme="minorHAnsi"/>
          <w:sz w:val="24"/>
          <w:szCs w:val="24"/>
        </w:rPr>
        <w:t xml:space="preserve">n.o</w:t>
      </w:r>
      <w:r>
        <w:rPr>
          <w:rFonts w:cstheme="minorHAnsi"/>
          <w:sz w:val="24"/>
          <w:szCs w:val="24"/>
        </w:rPr>
        <w:t xml:space="preserve">. týmto predkladá záverečnú správu z verejnej zbierky </w:t>
      </w:r>
      <w:r>
        <w:rPr>
          <w:rFonts w:cstheme="minorHAnsi"/>
          <w:sz w:val="24"/>
          <w:szCs w:val="24"/>
        </w:rPr>
        <w:t xml:space="preserve">s názvom „</w:t>
      </w:r>
      <w:bookmarkStart w:id="0" w:name="_Hlk208820011"/>
      <w:r>
        <w:rPr>
          <w:rFonts w:cstheme="minorHAnsi"/>
          <w:sz w:val="24"/>
          <w:szCs w:val="24"/>
        </w:rPr>
        <w:t xml:space="preserve">Zbierka na realizáciu Národného pochodu za život 2024“</w:t>
      </w:r>
      <w:bookmarkEnd w:id="0"/>
      <w:r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ktorá bola realizovaná na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území celej Slovenskej republiky v čase od 15. mája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2024 do 31. októbra 2024 na</w:t>
      </w:r>
      <w:r>
        <w:rPr>
          <w:rFonts w:cstheme="minorHAnsi"/>
          <w:sz w:val="24"/>
          <w:szCs w:val="24"/>
        </w:rPr>
        <w:t xml:space="preserve"> základe právoplatného rozhodnutia o zápise zbierky do registra zbierok č. SVS-OVS2-2024/030743-002. Všeobecným účelom verejnej zbierky bolo získanie finančných prostriedkov na prípravu, propagáciu a realizáciu Národného pochodu za život 2024 v Košiciach. </w:t>
      </w:r>
      <w:r>
        <w:rPr>
          <w:rFonts w:cstheme="minorHAnsi"/>
          <w:sz w:val="24"/>
          <w:szCs w:val="24"/>
        </w:rPr>
      </w:r>
    </w:p>
    <w:p w14:paraId="46F9D545" w14:textId="77777777">
      <w:p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Oznámenie o povolení konania verejnej zbierky spolu s číslom účtu verejnej zbierky zverejnil KANET, </w:t>
      </w:r>
      <w:r>
        <w:rPr>
          <w:rFonts w:cstheme="minorHAnsi"/>
          <w:sz w:val="24"/>
          <w:szCs w:val="24"/>
        </w:rPr>
        <w:t xml:space="preserve">n.o</w:t>
      </w:r>
      <w:r>
        <w:rPr>
          <w:rFonts w:cstheme="minorHAnsi"/>
          <w:sz w:val="24"/>
          <w:szCs w:val="24"/>
        </w:rPr>
        <w:t xml:space="preserve">.  v súlade s bodo</w:t>
      </w:r>
      <w:r>
        <w:rPr>
          <w:rFonts w:cstheme="minorHAnsi"/>
          <w:sz w:val="24"/>
          <w:szCs w:val="24"/>
        </w:rPr>
        <w:t xml:space="preserve">m 7. rozhodnutia Ministerstva vnútra SR na svojej webovej stránke https://kanet.kbs.sk/dňa 14. mája 2024.Verejná zbierka bola realizovaná zasielaním príspevkov na osobitný účet  SK74 0200 0000 0034 4580 6051 vo Všeobecnej úverovej banke, a. s. Bratislava. </w:t>
      </w:r>
      <w:r>
        <w:rPr>
          <w:rFonts w:cstheme="minorHAnsi"/>
          <w:sz w:val="24"/>
          <w:szCs w:val="24"/>
        </w:rPr>
      </w:r>
    </w:p>
    <w:p w14:paraId="4838B10D" w14:textId="77777777">
      <w:pPr>
        <w:pBdr/>
        <w:spacing w:line="276" w:lineRule="auto"/>
        <w:ind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Výnos z verejnej zbierky</w:t>
      </w:r>
      <w:r>
        <w:rPr>
          <w:rFonts w:cstheme="minorHAnsi"/>
          <w:b/>
          <w:bCs/>
          <w:sz w:val="24"/>
          <w:szCs w:val="24"/>
        </w:rPr>
      </w:r>
    </w:p>
    <w:p w14:paraId="41ED093A" w14:textId="77777777">
      <w:p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Hrubý výnos</w:t>
      </w:r>
      <w:r>
        <w:rPr>
          <w:rFonts w:cstheme="minorHAnsi"/>
          <w:sz w:val="24"/>
          <w:szCs w:val="24"/>
        </w:rPr>
        <w:t xml:space="preserve"> z verejnej zbierky predstavuje sumu </w:t>
      </w:r>
      <w:r>
        <w:rPr>
          <w:rFonts w:cstheme="minorHAnsi"/>
          <w:b/>
          <w:bCs/>
          <w:sz w:val="24"/>
          <w:szCs w:val="24"/>
        </w:rPr>
        <w:t xml:space="preserve">94 854,84 </w:t>
      </w:r>
      <w:r>
        <w:rPr>
          <w:rFonts w:cstheme="minorHAnsi"/>
          <w:sz w:val="24"/>
          <w:szCs w:val="24"/>
        </w:rPr>
        <w:t xml:space="preserve">eur. V rámci realizácie verejnej zbierky sme použili dve metódy: </w:t>
      </w:r>
      <w:r>
        <w:rPr>
          <w:rFonts w:cstheme="minorHAnsi"/>
          <w:sz w:val="24"/>
          <w:szCs w:val="24"/>
        </w:rPr>
      </w:r>
    </w:p>
    <w:p w14:paraId="3D87D72E" w14:textId="77777777">
      <w:pPr>
        <w:pStyle w:val="855"/>
        <w:numPr>
          <w:ilvl w:val="0"/>
          <w:numId w:val="22"/>
        </w:num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zasielanie príspevkov na osobitný účet. Ide o sumu  </w:t>
      </w:r>
      <w:r>
        <w:rPr>
          <w:rFonts w:cstheme="minorHAnsi"/>
          <w:b/>
          <w:bCs/>
          <w:sz w:val="24"/>
          <w:szCs w:val="24"/>
        </w:rPr>
        <w:t xml:space="preserve">57 704,84 eur.</w:t>
      </w:r>
      <w:r>
        <w:rPr>
          <w:rFonts w:cstheme="minorHAnsi"/>
          <w:sz w:val="24"/>
          <w:szCs w:val="24"/>
        </w:rPr>
      </w:r>
    </w:p>
    <w:p w14:paraId="1F56C2C6" w14:textId="77777777">
      <w:pPr>
        <w:pStyle w:val="855"/>
        <w:numPr>
          <w:ilvl w:val="0"/>
          <w:numId w:val="22"/>
        </w:num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zbieranie finančných príspevkov do prenosných pokladničiek, finančné prostriedky boli vložené na bankový zbierkový účet verejnej zbierky. Ide o sumu: </w:t>
      </w:r>
      <w:r>
        <w:rPr>
          <w:rFonts w:cstheme="minorHAnsi"/>
          <w:b/>
          <w:bCs/>
          <w:sz w:val="24"/>
          <w:szCs w:val="24"/>
        </w:rPr>
        <w:t xml:space="preserve">37 150,00 eur.</w:t>
      </w:r>
      <w:r>
        <w:rPr>
          <w:rFonts w:cstheme="minorHAnsi"/>
          <w:sz w:val="24"/>
          <w:szCs w:val="24"/>
        </w:rPr>
      </w:r>
    </w:p>
    <w:p w14:paraId="5E7AEF35" w14:textId="77777777">
      <w:p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Rozhodli sme sa nepoužiť metódu predaja predmetov. </w:t>
      </w:r>
      <w:r>
        <w:rPr>
          <w:rFonts w:cstheme="minorHAnsi"/>
          <w:sz w:val="24"/>
          <w:szCs w:val="24"/>
        </w:rPr>
      </w:r>
    </w:p>
    <w:p w14:paraId="2D37B6D2" w14:textId="77777777">
      <w:p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Náklady na konanie verejnej zbierky boli v sume 22,00 eur (bankové poplatky). </w:t>
      </w:r>
      <w:r>
        <w:rPr>
          <w:rFonts w:cstheme="minorHAnsi"/>
          <w:b/>
          <w:bCs/>
          <w:sz w:val="24"/>
          <w:szCs w:val="24"/>
        </w:rPr>
        <w:t xml:space="preserve">Čistý výnos</w:t>
      </w:r>
      <w:r>
        <w:rPr>
          <w:rFonts w:cstheme="minorHAnsi"/>
          <w:sz w:val="24"/>
          <w:szCs w:val="24"/>
        </w:rPr>
        <w:t xml:space="preserve"> verejnej zbierky predstavuje sumu </w:t>
      </w:r>
      <w:r>
        <w:rPr>
          <w:rFonts w:cstheme="minorHAnsi"/>
          <w:b/>
          <w:bCs/>
          <w:sz w:val="24"/>
          <w:szCs w:val="24"/>
        </w:rPr>
        <w:t xml:space="preserve">94 832,84 eur.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</w:r>
    </w:p>
    <w:p w14:paraId="4210BE1C" w14:textId="11E635D3">
      <w:pPr>
        <w:pBdr/>
        <w:spacing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 xml:space="preserve">Použitie čistého výnosu verejnej zbierky: Čistý výnos z verejnej zbierky bol použitý na prípravné práce, personálne, odborné, finančné, organizač</w:t>
      </w:r>
      <w:r>
        <w:rPr>
          <w:rFonts w:cstheme="minorHAnsi"/>
          <w:sz w:val="24"/>
          <w:szCs w:val="24"/>
        </w:rPr>
        <w:t xml:space="preserve">né a technické zabezpečenie, propagáciu a samotnú realizáciu Národného pochodu za život 2024 dňa 22.septembra 2024. Výdavky na prípravu, realizáciu a propagáciu Národného pochodu za život 2024, financované z prostriedkov verejnej zbierky, predstavujú sumu </w:t>
      </w:r>
      <w:r>
        <w:rPr>
          <w:rFonts w:cstheme="minorHAnsi"/>
          <w:b/>
          <w:sz w:val="24"/>
          <w:szCs w:val="24"/>
        </w:rPr>
        <w:t xml:space="preserve">94 902,61 eur</w:t>
      </w:r>
      <w:r>
        <w:rPr>
          <w:rFonts w:cstheme="minorHAnsi"/>
          <w:sz w:val="24"/>
          <w:szCs w:val="24"/>
        </w:rPr>
        <w:t xml:space="preserve">. Rozdiel medzi čistým výnosom verejnej zbierky a 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 výdavkami verejnej zbierky v sume </w:t>
      </w:r>
      <w:r>
        <w:rPr>
          <w:rFonts w:cstheme="minorHAnsi"/>
          <w:b/>
          <w:sz w:val="24"/>
          <w:szCs w:val="24"/>
        </w:rPr>
        <w:t xml:space="preserve">69,77</w:t>
      </w:r>
      <w:r>
        <w:rPr>
          <w:rFonts w:cstheme="minorHAnsi"/>
          <w:sz w:val="24"/>
          <w:szCs w:val="24"/>
        </w:rPr>
        <w:t xml:space="preserve"> eur sme financovali z vlastných zdrojov. 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Detailné prehľadné vyúčtovanie jednotlivých projektov spolu s fotodokumentáciou a ďalšou podpornou dokumentáciou je k dispozícii u predkladateľa správy.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 Obsah záverečnej správy zbierky zverejníme na svojom webovom sídle minimálne po dobu 12 mesiacov. 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06925172" w14:textId="77777777">
      <w:pPr>
        <w:pBdr/>
        <w:spacing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Uvádzame zoznam výdavkov verejnej zbierky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.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5B8EA114" w14:textId="10DFF0A1">
      <w:pPr>
        <w:pBdr/>
        <w:spacing w:line="276" w:lineRule="auto"/>
        <w:ind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V 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prílohovej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 časti uvádzame výpisy zo zbierkového účtu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 za mesiace máj – október 2024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 (príloha č. 1)  a kópie účtovných dokladov k jednotlivým výdavkom (Príloha č. 2).</w:t>
      </w:r>
      <w:r>
        <w:rPr>
          <w:rFonts w:cstheme="minorHAnsi"/>
          <w:sz w:val="24"/>
          <w:szCs w:val="24"/>
        </w:rPr>
      </w:r>
    </w:p>
    <w:p w14:paraId="5A943897" w14:textId="77777777">
      <w:pPr>
        <w:pBdr/>
        <w:spacing w:after="0"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034BE030" w14:textId="77777777">
      <w:pPr>
        <w:pBdr/>
        <w:spacing w:after="0"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10E4310F" w14:textId="6398726A">
      <w:pPr>
        <w:pBdr/>
        <w:spacing w:after="0"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V Bratislave, dňa 2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9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.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9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.202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5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75A1E493" w14:textId="77777777">
      <w:pPr>
        <w:pBdr/>
        <w:spacing w:after="0"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5ECAD6BC" w14:textId="77777777">
      <w:pPr>
        <w:pBdr/>
        <w:spacing w:after="0"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269CC38A" w14:textId="77777777">
      <w:pPr>
        <w:pBdr/>
        <w:spacing w:after="0"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ThLic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 xml:space="preserve">. Ivan Ružička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6706456B" w14:textId="77777777">
      <w:pPr>
        <w:pBdr/>
        <w:spacing w:after="0" w:line="276" w:lineRule="auto"/>
        <w:ind/>
        <w:jc w:val="both"/>
        <w:rPr>
          <w:rFonts w:eastAsia="Times New Roman" w:cstheme="minorHAnsi"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</w:r>
      <w:r>
        <w:rPr>
          <w:rFonts w:eastAsia="Times New Roman" w:cstheme="minorHAnsi"/>
          <w:color w:val="2c363a"/>
          <w:sz w:val="24"/>
          <w:szCs w:val="24"/>
          <w:lang w:eastAsia="sk-SK"/>
        </w:rPr>
        <w:tab/>
        <w:t xml:space="preserve">riaditeľ</w:t>
      </w:r>
      <w:r>
        <w:rPr>
          <w:rFonts w:eastAsia="Times New Roman" w:cstheme="minorHAnsi"/>
          <w:color w:val="2c363a"/>
          <w:sz w:val="24"/>
          <w:szCs w:val="24"/>
          <w:lang w:eastAsia="sk-SK"/>
        </w:rPr>
      </w:r>
    </w:p>
    <w:p w14:paraId="2663780E" w14:textId="77777777">
      <w:pPr>
        <w:pBdr/>
        <w:spacing w:after="0" w:line="276" w:lineRule="auto"/>
        <w:ind/>
        <w:jc w:val="both"/>
        <w:rPr>
          <w:rFonts w:eastAsia="Times New Roman" w:cstheme="minorHAnsi"/>
          <w:b/>
          <w:bCs/>
          <w:color w:val="2c363a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2c363a"/>
          <w:sz w:val="24"/>
          <w:szCs w:val="24"/>
          <w:lang w:eastAsia="sk-SK"/>
        </w:rPr>
      </w:r>
      <w:r>
        <w:rPr>
          <w:rFonts w:eastAsia="Times New Roman" w:cstheme="minorHAnsi"/>
          <w:b/>
          <w:bCs/>
          <w:color w:val="2c363a"/>
          <w:sz w:val="24"/>
          <w:szCs w:val="24"/>
          <w:lang w:eastAsia="sk-SK"/>
        </w:rPr>
      </w:r>
    </w:p>
    <w:p w14:paraId="7DF8BB50" w14:textId="77777777">
      <w:pPr>
        <w:pBdr/>
        <w:spacing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 w14:paraId="743262F5" w14:textId="77777777">
      <w:pPr>
        <w:pBdr/>
        <w:spacing/>
        <w:ind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</w:r>
      <w:r>
        <w:rPr>
          <w:rFonts w:cstheme="minorHAnsi"/>
          <w:b/>
          <w:bCs/>
          <w:color w:val="ff0000"/>
        </w:rPr>
      </w:r>
    </w:p>
    <w:p w14:paraId="050CF293" w14:textId="77777777">
      <w:pPr>
        <w:pBdr/>
        <w:spacing/>
        <w:ind/>
        <w:rPr>
          <w:rFonts w:cstheme="minorHAnsi"/>
          <w:b/>
          <w:bCs/>
        </w:rPr>
      </w:pP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p w14:paraId="7D9E2E5F" w14:textId="77777777"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 w14:paraId="0AAA7706" w14:textId="77777777">
      <w:pPr>
        <w:pBdr/>
        <w:spacing/>
        <w:ind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8B4E998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703B2512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71251726"/>
      <w:docPartObj>
        <w:docPartGallery w:val="Page Numbers (Bottom of Page)"/>
        <w:docPartUnique w:val="true"/>
      </w:docPartObj>
      <w:rPr/>
    </w:sdtPr>
    <w:sdtContent>
      <w:p w14:paraId="6C86D579" w14:textId="003A4300">
        <w:pPr>
          <w:pStyle w:val="858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 w14:paraId="4A43CC8D" w14:textId="77777777">
    <w:pPr>
      <w:pStyle w:val="85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36E7A77" w14:textId="77777777">
    <w:pPr>
      <w:pStyle w:val="85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283612C" w14:textId="77777777"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7731CB4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4709B8DA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183CDA4" w14:textId="3B027449">
    <w:pPr>
      <w:pStyle w:val="856"/>
      <w:pBdr/>
      <w:tabs>
        <w:tab w:val="left" w:leader="none" w:pos="6660"/>
      </w:tabs>
      <w:spacing/>
      <w:ind w:firstLine="2832"/>
      <w:rPr>
        <w:rFonts w:ascii="Calibri" w:hAnsi="Calibri" w:cs="Arial"/>
      </w:rPr>
    </w:pPr>
    <w:r>
      <w:rPr>
        <w:lang w:eastAsia="sk-SK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88900</wp:posOffset>
              </wp:positionV>
              <wp:extent cx="1714500" cy="610870"/>
              <wp:effectExtent l="0" t="0" r="0" b="0"/>
              <wp:wrapNone/>
              <wp:docPr id="1" name="Obrázok 1" descr="kanet-aktual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kanet-aktualne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714500" cy="6108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-10.50pt;mso-position-horizontal:absolute;mso-position-vertical-relative:text;margin-top:7.00pt;mso-position-vertical:absolute;width:135.00pt;height:48.1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cs="Arial"/>
        <w:b/>
      </w:rPr>
      <w:t xml:space="preserve">      </w:t>
    </w:r>
    <w:r>
      <w:rPr>
        <w:rFonts w:ascii="Calibri" w:hAnsi="Calibri" w:cs="Arial"/>
        <w:b/>
      </w:rPr>
      <w:t xml:space="preserve">Kanet</w:t>
    </w:r>
    <w:r>
      <w:rPr>
        <w:rFonts w:ascii="Calibri" w:hAnsi="Calibri" w:cs="Arial"/>
        <w:b/>
      </w:rPr>
      <w:t xml:space="preserve">, n. o.</w:t>
    </w:r>
    <w:r>
      <w:rPr>
        <w:rFonts w:ascii="Calibri" w:hAnsi="Calibri" w:cs="Arial"/>
      </w:rPr>
    </w:r>
  </w:p>
  <w:p w14:paraId="7874EB82" w14:textId="77777777">
    <w:pPr>
      <w:pStyle w:val="856"/>
      <w:pBdr/>
      <w:tabs>
        <w:tab w:val="left" w:leader="none" w:pos="6660"/>
      </w:tabs>
      <w:spacing/>
      <w:ind/>
      <w:rPr>
        <w:rFonts w:ascii="Calibri" w:hAnsi="Calibri" w:cs="Arial"/>
      </w:rPr>
    </w:pPr>
    <w:r>
      <w:rPr>
        <w:rFonts w:ascii="Calibri" w:hAnsi="Calibri" w:cs="Arial"/>
      </w:rPr>
      <w:t xml:space="preserve">                                                               Kapitulská 11</w:t>
    </w:r>
    <w:r>
      <w:rPr>
        <w:rFonts w:ascii="Calibri" w:hAnsi="Calibri" w:cs="Arial"/>
      </w:rPr>
      <w:tab/>
    </w:r>
    <w:r>
      <w:rPr>
        <w:rFonts w:ascii="Calibri" w:hAnsi="Calibri" w:cs="Arial"/>
      </w:rPr>
      <w:tab/>
      <w:t xml:space="preserve">           IČO: 37924460</w:t>
    </w:r>
    <w:r>
      <w:rPr>
        <w:rFonts w:ascii="Calibri" w:hAnsi="Calibri" w:cs="Arial"/>
      </w:rPr>
    </w:r>
  </w:p>
  <w:p w14:paraId="387BDFC0" w14:textId="77777777">
    <w:pPr>
      <w:pStyle w:val="856"/>
      <w:pBdr/>
      <w:tabs>
        <w:tab w:val="left" w:leader="none" w:pos="7200"/>
      </w:tabs>
      <w:spacing/>
      <w:ind/>
      <w:rPr>
        <w:rFonts w:ascii="Calibri" w:hAnsi="Calibri" w:cs="Arial"/>
      </w:rPr>
    </w:pPr>
    <w:r>
      <w:rPr>
        <w:rFonts w:ascii="Calibri" w:hAnsi="Calibri" w:cs="Arial"/>
      </w:rPr>
      <w:tab/>
      <w:t xml:space="preserve">811 01  Bratislava – Staré mesto</w:t>
    </w:r>
    <w:r>
      <w:rPr>
        <w:rFonts w:ascii="Calibri" w:hAnsi="Calibri" w:cs="Arial"/>
      </w:rPr>
      <w:tab/>
      <w:t xml:space="preserve">DIČ: 2022224061</w:t>
    </w:r>
    <w:r>
      <w:rPr>
        <w:rFonts w:ascii="Calibri" w:hAnsi="Calibri" w:cs="Arial"/>
      </w:rPr>
    </w:r>
  </w:p>
  <w:p w14:paraId="6533B9E9" w14:textId="1AF819CC">
    <w:pPr>
      <w:pStyle w:val="856"/>
      <w:pBdr/>
      <w:spacing/>
      <w:ind/>
      <w:rPr/>
    </w:pPr>
    <w:r/>
    <w:r/>
  </w:p>
  <w:p w14:paraId="42A91B36" w14:textId="77777777">
    <w:pPr>
      <w:pStyle w:val="85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9147094" w14:textId="77777777">
    <w:pPr>
      <w:pStyle w:val="85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BE4D6DE" w14:textId="77777777">
    <w:pPr>
      <w:pStyle w:val="85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E0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67F5B9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02588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1632D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123C2A3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85D571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19DD5745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276A491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2F90710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8FD6FF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9897BD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3ECD0EE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1CE4E3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42EA54B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4D9B6E9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nsid w:val="5600014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5DDE67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62120FBA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32" w:left="792"/>
      </w:pPr>
      <w:rPr>
        <w:rFonts w:eastAsia="Times New Roman" w:asciiTheme="minorHAnsi" w:hAnsiTheme="minorHAnsi" w:cstheme="minorHAnsi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8">
    <w:nsid w:val="6372597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64DC1A5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74DD015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7F913AA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8"/>
  </w:num>
  <w:num w:numId="5">
    <w:abstractNumId w:val="6"/>
  </w:num>
  <w:num w:numId="6">
    <w:abstractNumId w:val="14"/>
  </w:num>
  <w:num w:numId="7">
    <w:abstractNumId w:val="9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0"/>
  </w:num>
  <w:num w:numId="13">
    <w:abstractNumId w:val="8"/>
  </w:num>
  <w:num w:numId="14">
    <w:abstractNumId w:val="20"/>
  </w:num>
  <w:num w:numId="15">
    <w:abstractNumId w:val="3"/>
  </w:num>
  <w:num w:numId="16">
    <w:abstractNumId w:val="19"/>
  </w:num>
  <w:num w:numId="17">
    <w:abstractNumId w:val="16"/>
  </w:num>
  <w:num w:numId="18">
    <w:abstractNumId w:val="11"/>
  </w:num>
  <w:num w:numId="19">
    <w:abstractNumId w:val="7"/>
  </w:num>
  <w:num w:numId="20">
    <w:abstractNumId w:val="21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51"/>
    <w:next w:val="85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51"/>
    <w:next w:val="85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51"/>
    <w:next w:val="85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51"/>
    <w:next w:val="85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51"/>
    <w:next w:val="85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51"/>
    <w:next w:val="85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51"/>
    <w:next w:val="85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51"/>
    <w:next w:val="85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51"/>
    <w:next w:val="85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5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5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5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5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5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5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5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5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5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51"/>
    <w:next w:val="85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5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51"/>
    <w:next w:val="85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5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51"/>
    <w:next w:val="85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5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51"/>
    <w:next w:val="85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5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5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5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5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52"/>
    <w:link w:val="856"/>
    <w:uiPriority w:val="99"/>
    <w:pPr>
      <w:pBdr/>
      <w:spacing/>
      <w:ind/>
    </w:pPr>
  </w:style>
  <w:style w:type="character" w:styleId="179">
    <w:name w:val="Footer Char"/>
    <w:basedOn w:val="852"/>
    <w:link w:val="858"/>
    <w:uiPriority w:val="99"/>
    <w:pPr>
      <w:pBdr/>
      <w:spacing/>
      <w:ind/>
    </w:pPr>
  </w:style>
  <w:style w:type="paragraph" w:styleId="180">
    <w:name w:val="Caption"/>
    <w:basedOn w:val="851"/>
    <w:next w:val="8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5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5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5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5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51"/>
    <w:next w:val="851"/>
    <w:uiPriority w:val="39"/>
    <w:unhideWhenUsed/>
    <w:pPr>
      <w:pBdr/>
      <w:spacing w:after="100"/>
      <w:ind/>
    </w:pPr>
  </w:style>
  <w:style w:type="paragraph" w:styleId="190">
    <w:name w:val="toc 2"/>
    <w:basedOn w:val="851"/>
    <w:next w:val="851"/>
    <w:uiPriority w:val="39"/>
    <w:unhideWhenUsed/>
    <w:pPr>
      <w:pBdr/>
      <w:spacing w:after="100"/>
      <w:ind w:left="220"/>
    </w:pPr>
  </w:style>
  <w:style w:type="paragraph" w:styleId="191">
    <w:name w:val="toc 3"/>
    <w:basedOn w:val="851"/>
    <w:next w:val="851"/>
    <w:uiPriority w:val="39"/>
    <w:unhideWhenUsed/>
    <w:pPr>
      <w:pBdr/>
      <w:spacing w:after="100"/>
      <w:ind w:left="440"/>
    </w:pPr>
  </w:style>
  <w:style w:type="paragraph" w:styleId="192">
    <w:name w:val="toc 4"/>
    <w:basedOn w:val="851"/>
    <w:next w:val="851"/>
    <w:uiPriority w:val="39"/>
    <w:unhideWhenUsed/>
    <w:pPr>
      <w:pBdr/>
      <w:spacing w:after="100"/>
      <w:ind w:left="660"/>
    </w:pPr>
  </w:style>
  <w:style w:type="paragraph" w:styleId="193">
    <w:name w:val="toc 5"/>
    <w:basedOn w:val="851"/>
    <w:next w:val="851"/>
    <w:uiPriority w:val="39"/>
    <w:unhideWhenUsed/>
    <w:pPr>
      <w:pBdr/>
      <w:spacing w:after="100"/>
      <w:ind w:left="880"/>
    </w:pPr>
  </w:style>
  <w:style w:type="paragraph" w:styleId="194">
    <w:name w:val="toc 6"/>
    <w:basedOn w:val="851"/>
    <w:next w:val="851"/>
    <w:uiPriority w:val="39"/>
    <w:unhideWhenUsed/>
    <w:pPr>
      <w:pBdr/>
      <w:spacing w:after="100"/>
      <w:ind w:left="1100"/>
    </w:pPr>
  </w:style>
  <w:style w:type="paragraph" w:styleId="195">
    <w:name w:val="toc 7"/>
    <w:basedOn w:val="851"/>
    <w:next w:val="851"/>
    <w:uiPriority w:val="39"/>
    <w:unhideWhenUsed/>
    <w:pPr>
      <w:pBdr/>
      <w:spacing w:after="100"/>
      <w:ind w:left="1320"/>
    </w:pPr>
  </w:style>
  <w:style w:type="paragraph" w:styleId="196">
    <w:name w:val="toc 8"/>
    <w:basedOn w:val="851"/>
    <w:next w:val="851"/>
    <w:uiPriority w:val="39"/>
    <w:unhideWhenUsed/>
    <w:pPr>
      <w:pBdr/>
      <w:spacing w:after="100"/>
      <w:ind w:left="1540"/>
    </w:pPr>
  </w:style>
  <w:style w:type="paragraph" w:styleId="197">
    <w:name w:val="toc 9"/>
    <w:basedOn w:val="851"/>
    <w:next w:val="85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5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51"/>
    <w:next w:val="851"/>
    <w:uiPriority w:val="99"/>
    <w:unhideWhenUsed/>
    <w:pPr>
      <w:pBdr/>
      <w:spacing w:after="0" w:afterAutospacing="0"/>
      <w:ind/>
    </w:pPr>
  </w:style>
  <w:style w:type="paragraph" w:styleId="851" w:default="1">
    <w:name w:val="Normal"/>
    <w:qFormat/>
    <w:pPr>
      <w:pBdr/>
      <w:spacing w:after="160" w:line="259" w:lineRule="auto"/>
      <w:ind/>
    </w:pPr>
  </w:style>
  <w:style w:type="character" w:styleId="852" w:default="1">
    <w:name w:val="Default Paragraph Font"/>
    <w:uiPriority w:val="1"/>
    <w:semiHidden/>
    <w:unhideWhenUsed/>
    <w:pPr>
      <w:pBdr/>
      <w:spacing/>
      <w:ind/>
    </w:pPr>
  </w:style>
  <w:style w:type="table" w:styleId="8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4" w:default="1">
    <w:name w:val="No List"/>
    <w:uiPriority w:val="99"/>
    <w:semiHidden/>
    <w:unhideWhenUsed/>
    <w:pPr>
      <w:pBdr/>
      <w:spacing/>
      <w:ind/>
    </w:pPr>
  </w:style>
  <w:style w:type="paragraph" w:styleId="855">
    <w:name w:val="List Paragraph"/>
    <w:basedOn w:val="851"/>
    <w:uiPriority w:val="34"/>
    <w:qFormat/>
    <w:pPr>
      <w:pBdr/>
      <w:spacing/>
      <w:ind w:left="720"/>
      <w:contextualSpacing w:val="true"/>
    </w:pPr>
  </w:style>
  <w:style w:type="paragraph" w:styleId="856">
    <w:name w:val="Header"/>
    <w:basedOn w:val="851"/>
    <w:link w:val="85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57" w:customStyle="1">
    <w:name w:val="Hlavička Char"/>
    <w:basedOn w:val="852"/>
    <w:link w:val="856"/>
    <w:uiPriority w:val="99"/>
    <w:pPr>
      <w:pBdr/>
      <w:spacing/>
      <w:ind/>
    </w:pPr>
  </w:style>
  <w:style w:type="paragraph" w:styleId="858">
    <w:name w:val="Footer"/>
    <w:basedOn w:val="851"/>
    <w:link w:val="85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59" w:customStyle="1">
    <w:name w:val="Päta Char"/>
    <w:basedOn w:val="852"/>
    <w:link w:val="858"/>
    <w:uiPriority w:val="99"/>
    <w:pPr>
      <w:pBdr/>
      <w:spacing/>
      <w:ind/>
    </w:pPr>
  </w:style>
  <w:style w:type="table" w:styleId="860">
    <w:name w:val="Table Grid"/>
    <w:basedOn w:val="853"/>
    <w:uiPriority w:val="39"/>
    <w:pPr>
      <w:pBdr/>
      <w:spacing w:after="0" w:line="240" w:lineRule="auto"/>
      <w:ind/>
    </w:pPr>
    <w:rPr>
      <w:lang w:val="sk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>
    <w:name w:val="Hyperlink"/>
    <w:basedOn w:val="852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Tamajková</dc:creator>
  <cp:keywords/>
  <dc:description/>
  <cp:revision>7</cp:revision>
  <dcterms:created xsi:type="dcterms:W3CDTF">2024-02-05T07:32:00Z</dcterms:created>
  <dcterms:modified xsi:type="dcterms:W3CDTF">2026-02-03T11:51:39Z</dcterms:modified>
</cp:coreProperties>
</file>